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CRONOGRAMA PROCESO EDITORIAL 2022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Nota: enlazar documentos en palabras resaltadas de turquesa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5805"/>
        <w:gridCol w:w="2385"/>
        <w:gridCol w:w="1965"/>
        <w:tblGridChange w:id="0">
          <w:tblGrid>
            <w:gridCol w:w="660"/>
            <w:gridCol w:w="5805"/>
            <w:gridCol w:w="2385"/>
            <w:gridCol w:w="1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12" w:val="single"/>
              <w:left w:color="cccccc" w:space="0" w:sz="12" w:val="single"/>
              <w:bottom w:color="cccccc" w:space="0" w:sz="12" w:val="single"/>
              <w:right w:color="cccccc" w:space="0" w:sz="12" w:val="single"/>
            </w:tcBorders>
            <w:shd w:fill="999999" w:val="clear"/>
            <w:tcMar>
              <w:top w:w="180.0" w:type="dxa"/>
              <w:left w:w="300.0" w:type="dxa"/>
              <w:bottom w:w="180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12" w:val="single"/>
              <w:bottom w:color="cccccc" w:space="0" w:sz="12" w:val="single"/>
              <w:right w:color="cccccc" w:space="0" w:sz="12" w:val="single"/>
            </w:tcBorders>
            <w:shd w:fill="999999" w:val="clear"/>
            <w:tcMar>
              <w:top w:w="180.0" w:type="dxa"/>
              <w:left w:w="300.0" w:type="dxa"/>
              <w:bottom w:w="180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Proceso</w:t>
            </w:r>
          </w:p>
        </w:tc>
        <w:tc>
          <w:tcPr>
            <w:tcBorders>
              <w:top w:color="cccccc" w:space="0" w:sz="12" w:val="single"/>
              <w:left w:color="cccccc" w:space="0" w:sz="12" w:val="single"/>
              <w:bottom w:color="cccccc" w:space="0" w:sz="12" w:val="single"/>
              <w:right w:color="cccccc" w:space="0" w:sz="12" w:val="single"/>
            </w:tcBorders>
            <w:shd w:fill="999999" w:val="clear"/>
            <w:tcMar>
              <w:top w:w="180.0" w:type="dxa"/>
              <w:left w:w="300.0" w:type="dxa"/>
              <w:bottom w:w="180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Inicio</w:t>
            </w:r>
          </w:p>
        </w:tc>
        <w:tc>
          <w:tcPr>
            <w:tcBorders>
              <w:top w:color="cccccc" w:space="0" w:sz="8" w:val="single"/>
              <w:left w:color="cccccc" w:space="0" w:sz="12" w:val="single"/>
              <w:bottom w:color="000000" w:space="0" w:sz="0" w:val="nil"/>
              <w:right w:color="cccccc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Cierre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3333"/>
                <w:sz w:val="20"/>
                <w:szCs w:val="20"/>
                <w:rtl w:val="0"/>
              </w:rPr>
              <w:t xml:space="preserve">Difusión de convocatoria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Ver </w:t>
            </w: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highlight w:val="cyan"/>
                <w:rtl w:val="0"/>
              </w:rPr>
              <w:t xml:space="preserve">carta de invitación</w:t>
            </w: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 oficial de la convocatoria.​​​​</w:t>
            </w:r>
          </w:p>
        </w:tc>
        <w:tc>
          <w:tcPr>
            <w:tcBorders>
              <w:top w:color="cc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Enero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Abril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3333"/>
                <w:sz w:val="20"/>
                <w:szCs w:val="20"/>
                <w:rtl w:val="0"/>
              </w:rPr>
              <w:t xml:space="preserve">Recepción de resúmenes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 Documentos a presentar: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0" w:hanging="360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highlight w:val="cyan"/>
                <w:rtl w:val="0"/>
              </w:rPr>
              <w:t xml:space="preserve">Ver Anexo 2: Carta de originalidad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1"/>
              </w:numPr>
              <w:spacing w:after="160" w:line="240" w:lineRule="auto"/>
              <w:ind w:left="0" w:hanging="360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highlight w:val="cyan"/>
                <w:rtl w:val="0"/>
              </w:rPr>
              <w:t xml:space="preserve">Ver Anexo 3: Formato presentación resúmenes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Enero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Abril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3333"/>
                <w:sz w:val="20"/>
                <w:szCs w:val="20"/>
                <w:rtl w:val="0"/>
              </w:rPr>
              <w:t xml:space="preserve">Notificación de pre-aceptación de resúmenes.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 La notificación se enviará vía correo electrónico.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Marzo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Mayo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3333"/>
                <w:sz w:val="20"/>
                <w:szCs w:val="20"/>
                <w:rtl w:val="0"/>
              </w:rPr>
              <w:t xml:space="preserve">Recepción de artículos completos previamente seleccionados.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Presentar artículo respetando los lineamientos de instrucción de publicación para autores.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Ver </w:t>
            </w: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highlight w:val="cyan"/>
                <w:rtl w:val="0"/>
              </w:rPr>
              <w:t xml:space="preserve">Anexo 4</w:t>
            </w: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 y </w:t>
            </w: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highlight w:val="cyan"/>
                <w:rtl w:val="0"/>
              </w:rPr>
              <w:t xml:space="preserve">Anexo 5</w:t>
            </w: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Abril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Junio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3333"/>
                <w:sz w:val="20"/>
                <w:szCs w:val="20"/>
                <w:rtl w:val="0"/>
              </w:rPr>
              <w:t xml:space="preserve">Evaluación de artículos completos para publicación.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 La evaluación consiste en: cumplimiento de las instrucciones,  verificación de la originalidad a través de la herramienta Turnitin y arbitraje a cargo de especialistas en el tema quienes recomendarán su publicación final.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Mayo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Agosto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3333"/>
                <w:sz w:val="20"/>
                <w:szCs w:val="20"/>
                <w:rtl w:val="0"/>
              </w:rPr>
              <w:t xml:space="preserve">Notificación de aceptación de artículos completos para publicación.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Se notificará a los autores los resultados de la evaluación de sus artículos.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Junio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Agosto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3333"/>
                <w:sz w:val="20"/>
                <w:szCs w:val="20"/>
                <w:rtl w:val="0"/>
              </w:rPr>
              <w:t xml:space="preserve">Corrección de estilo de artículos completos aceptados para publicación.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 Los artículos publicables pasarán por un proceso de corrección de estilo y ortografía debiendo obtener respuesta de los autores dentro de los plazos que se estimen.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Agosto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Setiembre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3333"/>
                <w:sz w:val="20"/>
                <w:szCs w:val="20"/>
                <w:rtl w:val="0"/>
              </w:rPr>
              <w:t xml:space="preserve">Diagramación y publicación de artículos.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 Se notificará a los autores y coautores cuando se realice la publicación de la revista.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i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color w:val="333333"/>
                <w:sz w:val="16"/>
                <w:szCs w:val="16"/>
                <w:rtl w:val="0"/>
              </w:rPr>
              <w:t xml:space="preserve">*Las fechas de proceso editorial se irán adaptando a las necesidades de los autores y comité editorial.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Por definir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80.0" w:type="dxa"/>
              <w:left w:w="300.0" w:type="dxa"/>
              <w:bottom w:w="1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335.99999999999994" w:lineRule="auto"/>
              <w:rPr>
                <w:rFonts w:ascii="Lato" w:cs="Lato" w:eastAsia="Lato" w:hAnsi="Lato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333333"/>
                <w:sz w:val="20"/>
                <w:szCs w:val="20"/>
                <w:rtl w:val="0"/>
              </w:rPr>
              <w:t xml:space="preserve">Por definir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Lato" w:cs="Lato" w:eastAsia="Lato" w:hAnsi="Lato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